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17.03.2021 N 392</w:t>
              <w:br/>
              <w:t xml:space="preserve">(ред. от 19.05.2023)</w:t>
              <w:br/>
              <w:t xml:space="preserve">"Об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Российской Федерации от 27 августа 1999 г. N 972 и признании не действующим на территории Российской Федерации постановления Совета Министров СССР от 6 января 1983 г. N 19"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17 марта 2021 г. N 392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4"/>
        </w:rPr>
        <w:t xml:space="preserve">ОБ ОХРАННОЙ ЗОНЕ СТАЦИОНАРНЫХ ПУНКТОВ НАБЛЮДЕНИЙ</w:t>
      </w:r>
    </w:p>
    <w:p>
      <w:pPr>
        <w:pStyle w:val="2"/>
        <w:jc w:val="center"/>
      </w:pPr>
      <w:r>
        <w:rPr>
          <w:sz w:val="24"/>
        </w:rPr>
        <w:t xml:space="preserve">ЗА СОСТОЯНИЕМ ОКРУЖАЮЩЕЙ СРЕДЫ, ЕЕ ЗАГРЯЗНЕНИЕМ,</w:t>
      </w:r>
    </w:p>
    <w:p>
      <w:pPr>
        <w:pStyle w:val="2"/>
        <w:jc w:val="center"/>
      </w:pPr>
      <w:r>
        <w:rPr>
          <w:sz w:val="24"/>
        </w:rPr>
        <w:t xml:space="preserve">О ПРИЗНАНИИ УТРАТИВШИМ СИЛУ ПОСТАНОВЛЕНИЯ ПРАВИТЕЛЬСТВА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ОТ 27 АВГУСТА 1999 Г. N 972</w:t>
      </w:r>
    </w:p>
    <w:p>
      <w:pPr>
        <w:pStyle w:val="2"/>
        <w:jc w:val="center"/>
      </w:pPr>
      <w:r>
        <w:rPr>
          <w:sz w:val="24"/>
        </w:rPr>
        <w:t xml:space="preserve">И ПРИЗНАНИИ НЕ ДЕЙСТВУЮЩИМ НА ТЕРРИТОРИИ РОССИЙСКОЙ</w:t>
      </w:r>
    </w:p>
    <w:p>
      <w:pPr>
        <w:pStyle w:val="2"/>
        <w:jc w:val="center"/>
      </w:pPr>
      <w:r>
        <w:rPr>
          <w:sz w:val="24"/>
        </w:rPr>
        <w:t xml:space="preserve">ФЕДЕРАЦИИ ПОСТАНОВЛЕНИЯ СОВЕТА МИНИСТРОВ СССР</w:t>
      </w:r>
    </w:p>
    <w:p>
      <w:pPr>
        <w:pStyle w:val="2"/>
        <w:jc w:val="center"/>
      </w:pPr>
      <w:r>
        <w:rPr>
          <w:sz w:val="24"/>
        </w:rPr>
        <w:t xml:space="preserve">ОТ 6 ЯНВАРЯ 1983 Г. N 19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19.05.2023 N 791)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9" w:tooltip="&quot;Земельный кодекс Российской Федерации&quot; от 25.10.2001 N 136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пунктом 1 статьи 106</w:t>
        </w:r>
      </w:hyperlink>
      <w:r>
        <w:rPr>
          <w:sz w:val="24"/>
        </w:rPr>
        <w:t xml:space="preserve"> Земельного кодекса Российской Федерации и </w:t>
      </w:r>
      <w:hyperlink w:history="0" r:id="rId10" w:tooltip="Федеральный закон от 19.07.1998 N 113-ФЗ (ред. от 28.12.2024) &quot;О гидрометеорологической службе&quot; {КонсультантПлюс}">
        <w:r>
          <w:rPr>
            <w:sz w:val="24"/>
            <w:color w:val="0000ff"/>
          </w:rPr>
          <w:t xml:space="preserve">частью 3 статьи 13</w:t>
        </w:r>
      </w:hyperlink>
      <w:r>
        <w:rPr>
          <w:sz w:val="24"/>
        </w:rPr>
        <w:t xml:space="preserve"> Федерального закона "О гидрометеорологической службе"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прилагаемое </w:t>
      </w:r>
      <w:hyperlink w:history="0" w:anchor="P39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об охранной зоне стационарных пунктов наблюдений за состоянием окружающей среды, ее загрязнением.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11" w:tooltip="Постановление Правительства РФ от 27.08.1999 N 972 (ред. от 01.02.2005) &quot;Об утверждении Положения о создании охранных зон стационарных пунктов наблюдений за состоянием окружающей природной среды, ее загрязнением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27 августа 1999 г. N 972 "Об утверждении Положения о создании охранных зон стационарных пунктов наблюдений за состоянием окружающей природной среды, ее загрязнением" (Собрание законодательства Российской Федерации, 1999, N 36, ст. 4405);</w:t>
      </w:r>
    </w:p>
    <w:p>
      <w:pPr>
        <w:pStyle w:val="0"/>
        <w:spacing w:before="240" w:lineRule="auto"/>
        <w:ind w:firstLine="540"/>
        <w:jc w:val="both"/>
      </w:pPr>
      <w:hyperlink w:history="0" r:id="rId12" w:tooltip="Постановление Правительства РФ от 01.02.2005 N 49 (ред. от 19.09.2020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пункт 61</w:t>
        </w:r>
      </w:hyperlink>
      <w:r>
        <w:rPr>
          <w:sz w:val="24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 февраля 2005 г. N 49 "Об изменении и признании утратившими силу некоторых актов Правительства Российской Федерации" (Собрание законодательства Российской Федерации, 2005, N 7, ст. 560).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Признать не действующим на территории Российской Федерации </w:t>
      </w:r>
      <w:hyperlink w:history="0" r:id="rId13" w:tooltip="Постановление Совмина СССР от 06.01.1983 N 19 (с изм. от 25.09.1987) &quot;Об усилении мер по обеспечению сохранности гидрометеорологических станций, осуществляющих наблюдение и контроль за состоянием природной сред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Совета Министров СССР от 6 января 1983 г. N 19 "Об усилении мер по обеспечению сохранности гидрометеорологических станций, осуществляющих наблюдение и контроль за состоянием природной среды" (СП СССР, 1983, N 5, ст. 22).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центральных аппаратов и территориальных органов соответствующих федеральных органов исполнительной власти и бюджетных ассигнований, предусмотренных им в федеральном бюджете на руководство и управление в сфере установленных функций.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Настоящее постановление вступает в силу с 1 января 2022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17 марта 2021 г. N 392</w:t>
      </w:r>
    </w:p>
    <w:p>
      <w:pPr>
        <w:pStyle w:val="0"/>
        <w:jc w:val="both"/>
      </w:pPr>
      <w:r>
        <w:rPr>
          <w:sz w:val="24"/>
        </w:rPr>
      </w:r>
    </w:p>
    <w:bookmarkStart w:id="39" w:name="P39"/>
    <w:bookmarkEnd w:id="39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ОБ ОХРАННОЙ ЗОНЕ СТАЦИОНАРНЫХ ПУНКТОВ НАБЛЮДЕНИЙ</w:t>
      </w:r>
    </w:p>
    <w:p>
      <w:pPr>
        <w:pStyle w:val="2"/>
        <w:jc w:val="center"/>
      </w:pPr>
      <w:r>
        <w:rPr>
          <w:sz w:val="24"/>
        </w:rPr>
        <w:t xml:space="preserve">ЗА СОСТОЯНИЕМ ОКРУЖАЮЩЕЙ СРЕДЫ, ЕЕ ЗАГРЯЗНЕНИЕМ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4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19.05.2023 N 791)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определяет порядок установления, изменения и прекращения существования охранной зоны стационарных пунктов наблюдений за состоянием окружающей среды, ее загрязнением, входящих в государственную наблюдательную сеть и находящихся в федеральной собственности (далее соответственно - стационарные пункты наблюдений, охранная зона).</w:t>
      </w:r>
    </w:p>
    <w:bookmarkStart w:id="46" w:name="P46"/>
    <w:bookmarkEnd w:id="4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Охранная зона устанавливается для стационарных пунктов наблюдений, расположенных на земельных участках, которые находятся в постоянном (бессрочном) пользовании организаций, подведомственных Федеральной службе по гидрометеорологии и мониторингу окружающей среды (далее - организации наблюдательной сети), или на части акватории водного объекта.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Охранная зона устанавливается на срок существования стационарного пункта наблюдений.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Основанием прекращения существования охранной зоны является прекращение деятельности стационарного пункта наблюдений.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Границы охранной зоны изменяются в случае принятия Федеральной службой по гидрометеорологии и мониторингу окружающей среды решения о переносе стационарного пункта наблюдений.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5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Решение об установлении или изменении охранной зоны принимается территориальным органом Федеральной службы по гидрометеорологии и мониторингу окружающей среды (далее - территориальный орган) по месту нахождения стационарного пункта наблюдений, для которого устанавливается или изменяется охранная зона.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6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Принятие решения о прекращении существования охранной зоны не требуется.</w:t>
      </w:r>
    </w:p>
    <w:bookmarkStart w:id="54" w:name="P54"/>
    <w:bookmarkEnd w:id="5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С заявлением об установлении или изменении охранной зоны обращается организация наблюдательной сети.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Иные лица, не указанные в </w:t>
      </w:r>
      <w:hyperlink w:history="0" w:anchor="P54" w:tooltip="5. С заявлением об установлении или изменении охранной зоны обращается организация наблюдательной сети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не вправе обращаться с заявлением об установлении охранной зоны.</w:t>
      </w:r>
    </w:p>
    <w:bookmarkStart w:id="57" w:name="P57"/>
    <w:bookmarkEnd w:id="5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Для принятия решения об установлении или изменении охранной зоны в территориальный орган представляются следующие документы: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bookmarkStart w:id="59" w:name="P59"/>
    <w:bookmarkEnd w:id="5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</w:t>
      </w:r>
      <w:hyperlink w:history="0" r:id="rId19" w:tooltip="Распоряжение Росгидромета от 18.09.2023 N 328-р &quot;О применении территориальными органами и подведомственными учреждениями Росгидромета форм документов при установлении или изменении охранной зоны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об установлении или изменении охранной зоны;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bookmarkStart w:id="61" w:name="P61"/>
    <w:bookmarkEnd w:id="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границах охранной зоны, которые содержат графическое описание местоположения границ охранной зоны, перечень координат характерных точек этих границ в системе координат, установленной для ведения Единого государственного реестра недвижимости;</w:t>
      </w:r>
    </w:p>
    <w:bookmarkStart w:id="62" w:name="P62"/>
    <w:bookmarkEnd w:id="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копии правоустанавливающих и (или) правоудостоверяющих документов на земельный участок, указанный в </w:t>
      </w:r>
      <w:hyperlink w:history="0" w:anchor="P46" w:tooltip="2. Охранная зона устанавливается для стационарных пунктов наблюдений, расположенных на земельных участках, которые находятся в постоянном (бессрочном) пользовании организаций, подведомственных Федеральной службе по гидрометеорологии и мониторингу окружающей среды (далее - организации наблюдательной сети), или на части акватории водного объекта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Положения, в границах которого расположен стационарный пункт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копия решения Федеральной службы по гидрометеорологии и мониторингу окружающей среды о переносе стационарного пункта наблюдений в случае принятия Службой решения об изменении охранной зоны.</w:t>
      </w:r>
    </w:p>
    <w:p>
      <w:pPr>
        <w:pStyle w:val="0"/>
        <w:jc w:val="both"/>
      </w:pPr>
      <w:r>
        <w:rPr>
          <w:sz w:val="24"/>
        </w:rPr>
        <w:t xml:space="preserve">(пп. "г" введен </w:t>
      </w:r>
      <w:hyperlink w:history="0" r:id="rId21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Документы, предусмотренные </w:t>
      </w:r>
      <w:hyperlink w:history="0" w:anchor="P57" w:tooltip="6. Для принятия решения об установлении или изменении охранной зоны в территориальный орган представляются следующие документы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Положения, представляются на бумажном носителе либо в форме электронных документов, в том числе посредством использования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и ее компонентов, подготавливаемых в соответствии с требованиями к формату этих документов согласно </w:t>
      </w:r>
      <w:hyperlink w:history="0" w:anchor="P126" w:tooltip="ТРЕБОВАНИЯ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Территориальный орган рассматривает документы, предусмотренные </w:t>
      </w:r>
      <w:hyperlink w:history="0" w:anchor="P57" w:tooltip="6. Для принятия решения об установлении или изменении охранной зоны в территориальный орган представляются следующие документы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Положения, и в течение 20 рабочих дней после их поступления принимает решение об установлении или изменении охранной зоны либо об отказе в ее установлении.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Решение об отказе в установлении или изменении охранной зоны принимается в случае: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3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представления неполного состава документов, предусмотренных </w:t>
      </w:r>
      <w:hyperlink w:history="0" w:anchor="P57" w:tooltip="6. Для принятия решения об установлении или изменении охранной зоны в территориальный орган представляются следующие документы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представления сведений о границах охранной зоны, определенных в нарушение требований, установленных </w:t>
      </w:r>
      <w:hyperlink w:history="0" w:anchor="P91" w:tooltip="14. Предельные размеры охранной зоны составляют:">
        <w:r>
          <w:rPr>
            <w:sz w:val="24"/>
            <w:color w:val="0000ff"/>
          </w:rPr>
          <w:t xml:space="preserve">пунктом 14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представления недостоверных сведений в документах, предусмотренных </w:t>
      </w:r>
      <w:hyperlink w:history="0" w:anchor="P57" w:tooltip="6. Для принятия решения об установлении или изменении охранной зоны в территориальный орган представляются следующие документы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представления документов лицом, не указанным в </w:t>
      </w:r>
      <w:hyperlink w:history="0" w:anchor="P54" w:tooltip="5. С заявлением об установлении или изменении охранной зоны обращается организация наблюдательной сети.">
        <w:r>
          <w:rPr>
            <w:sz w:val="24"/>
            <w:color w:val="0000ff"/>
          </w:rPr>
          <w:t xml:space="preserve">абзаце первом пункта 5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В решении об установлении охранной зоны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и вид объекта, в связи с размещением которого устанавливается охранная зона, его адрес или местоположение;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реквизиты и наименование нормативного правового акта, которым утверждено настоящее Положение, предусматривающее установление ограничений использования земельных участков в границах охранной зоны;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правообладателе стационарного пункта наблюдений, обязанном возместить убытки, причиненные в связи с установлением охранной зоны, а также срок наступления обязанности по возмещению этих убытков.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10(1). В решении об изменении охранной зоны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основание изменения установленной охранной зоны;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реквизиты и наименование нормативного правового акта, которым утверждено настоящее Положение, предусматривающее установление ограничений использования земельных участков в границах охранной зоны.</w:t>
      </w:r>
    </w:p>
    <w:p>
      <w:pPr>
        <w:pStyle w:val="0"/>
        <w:jc w:val="both"/>
      </w:pPr>
      <w:r>
        <w:rPr>
          <w:sz w:val="24"/>
        </w:rPr>
        <w:t xml:space="preserve">(п. 10(1) введен </w:t>
      </w:r>
      <w:hyperlink w:history="0" r:id="rId24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Обязательным приложением к решению об установлении или изменении охранной зоны являются сведения о границах охранной зоны, содержащие графическое описание местоположения ее границ, перечень координат характерных точек этих границ в системе координат, установленной или измененной для ведения Единого государственного реестра недвижимости.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5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Территориальный орган, принявший решение об установлении или изменении охранной зоны, не позднее 5 рабочих дней со дня принятия такого решения направляет его копию в организацию наблюдательной сети, в уполномоченные на размещение сведений в государственных информационных системах обеспечения градостроительной деятельности орган исполнительной власти субъекта Российской Федерации и орган местного самоуправления городского округа, поселения (в случае нахождения стационарного пункта наблюдений на межселенной территории - в орган местного самоуправления муниципального района), применительно к территории которого установлена охранная зона.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Охранная зона считается установленной, измененной или прекращенной со дня внесения соответствующих сведений о границах охранной зоны в Единый государственный реестр недвижимости.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7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Принятие решения о прекращении деятельности стационарного пункта наблюдений является основанием для исключения сведений об охранной зоне, установленной в отношении такого стационарного пункта наблюдений, из Единого государственного реестра недвижимости.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Территориальный орган не позднее 5 рабочих дней со дня получения решения о прекращении деятельности стационарного пункта наблюдений направляет его копию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а также сведения об охранной зоне стационарного пункта наблюдений, в отношении которого принято решение о прекращении его деятельности, для исключения сведений об этой охранной зоне из Единого государственного реестра недвижимости.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8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bookmarkStart w:id="91" w:name="P91"/>
    <w:bookmarkEnd w:id="9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Предельные размеры охранной зоны составляют: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100 метров во все стороны от места расположения приборов и оборудования стационарного пункта наблюдений - для стационарных пунктов наблюдений, на которых осуществляются гидрологические наблюдения или наблюдения за загрязнением атмосферного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200 метров от границ площадки с размещенным на ней оборудованием - для стационарных пунктов наблюдений в случаях, не указанных в </w:t>
      </w:r>
      <w:hyperlink w:history="0" w:anchor="P92" w:tooltip="а) 100 метров во все стороны от места расположения приборов и оборудования стационарного пункта наблюдений - для стационарных пунктов наблюдений, на которых осуществляются гидрологические наблюдения или наблюдения за загрязнением атмосферного воздуха;">
        <w:r>
          <w:rPr>
            <w:sz w:val="24"/>
            <w:color w:val="0000ff"/>
          </w:rPr>
          <w:t xml:space="preserve">подпункте "а"</w:t>
        </w:r>
      </w:hyperlink>
      <w:r>
        <w:rPr>
          <w:sz w:val="24"/>
        </w:rPr>
        <w:t xml:space="preserve"> настоящего пункта.</w:t>
      </w:r>
    </w:p>
    <w:p>
      <w:pPr>
        <w:pStyle w:val="0"/>
        <w:jc w:val="both"/>
      </w:pPr>
      <w:r>
        <w:rPr>
          <w:sz w:val="24"/>
        </w:rPr>
        <w:t xml:space="preserve">(пп. "б" в ред. </w:t>
      </w:r>
      <w:hyperlink w:history="0" r:id="rId29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Местоположение стационарного пункта наблюдений, для размещения которого устанавливается или изменяется охранная зона, обозначается на местности специальным информационным знаком, который устанавливается в границах охранной зоны и на котором размещается следующая информация: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0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стационарного пункта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наименование и контактная информация организации наблюдательной сети, обеспечивающей функционирование стационарного пункта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границах охранной зоны и ограничениях, установленных в соответствии с настоящим Положением.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15(1). </w:t>
      </w:r>
      <w:hyperlink w:history="0" r:id="rId31" w:tooltip="Приказ Росгидромета от 09.10.2023 N 490 &quot;Об утверждении образца специального информационного знака для обозначения границ охранных зон стационарных пунктов наблюдений за состоянием окружающей среды, ее загрязнением&quot; (Зарегистрировано в Минюсте России 01.02.2024 N 77104) {КонсультантПлюс}">
        <w:r>
          <w:rPr>
            <w:sz w:val="24"/>
            <w:color w:val="0000ff"/>
          </w:rPr>
          <w:t xml:space="preserve">Образец</w:t>
        </w:r>
      </w:hyperlink>
      <w:r>
        <w:rPr>
          <w:sz w:val="24"/>
        </w:rPr>
        <w:t xml:space="preserve"> специального информационного знака утверждается Федеральной службой по гидрометеорологии и мониторингу окружающей среды.</w:t>
      </w:r>
    </w:p>
    <w:p>
      <w:pPr>
        <w:pStyle w:val="0"/>
        <w:jc w:val="both"/>
      </w:pPr>
      <w:r>
        <w:rPr>
          <w:sz w:val="24"/>
        </w:rPr>
        <w:t xml:space="preserve">(п. 15(1) введен </w:t>
      </w:r>
      <w:hyperlink w:history="0" r:id="rId32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19.05.2023 N 791)</w:t>
      </w:r>
    </w:p>
    <w:bookmarkStart w:id="102" w:name="P102"/>
    <w:bookmarkEnd w:id="10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В границах охранной зоны запрещается: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строительство объектов капитального строительства, возведение некапитальных строений и сооружений, размещение предметов и материалов, посадка деревьев и кустарников (далее - препятствия) на расстоянии менее или равном 10-кратной высоте препятствия вокруг стационарного пункта наблюдений, а для препятствий, образующих непрерывную полосу с общей угловой шириной более 10 градусов, - на расстоянии менее или равном 20-кратной максимальной высоте препятствия вокруг стационарного пункта наблюдений;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размещение источников искажения температурно-влажностного режима атмосферного воздуха (теплотрассы, котельные, трубопроводы, бетонные, асфальтовые и иные искусственные площадки, искусственные водные объекты, оросительные и осушительные системы, открытые источники огня, дыма);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проведение горных, геолого-разведочных и взрывных работ, а также земляных работ;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организация стоянки автомобильного и (или) водного транспорта, других механизмов, сооружение причалов и пристаней;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размещение источников электромагнитного и (или) иного излучения, создающего помехи для получения достоверной информации о состоянии окружающей среды, ее загрязнении, а также стационарные и передвижные источники загрязнения атмосферного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складирование удобрений, отходов производства и потребления.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Ограничения использования земельных участков, предусмотренные </w:t>
      </w:r>
      <w:hyperlink w:history="0" w:anchor="P102" w:tooltip="16. В границах охранной зоны запрещается: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настоящего Положения, являются едиными для всех охранных зон и не могут меняться в зависимости от характеристик стационарного пункта наблюдений или территории, применительно к которым устанавливается или изменяется охранная зона, за исключением случая, установленного </w:t>
      </w:r>
      <w:hyperlink w:history="0" w:anchor="P111" w:tooltip="18. При производстве гидрологических и морских гидрометеорологических наблюдений наряду с ограничениями, предусмотренными пунктом 16 настоящего Положения, в границах охранной зоны запрещаются швартовка судов, установка водозаборов и водосбросов, бросание якорей, прохождение с отданными якорями, цепями, лотами, волокушами и тралами, сооружение волноломов, проведение водолазных работ, дноуглубительных работ (за исключением работ по содержанию внутренних водных путей), землечерпательных работ и намыв берега...">
        <w:r>
          <w:rPr>
            <w:sz w:val="24"/>
            <w:color w:val="0000ff"/>
          </w:rPr>
          <w:t xml:space="preserve">пунктом 18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bookmarkStart w:id="111" w:name="P111"/>
    <w:bookmarkEnd w:id="1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При производстве гидрологических и морских гидрометеорологических наблюдений наряду с ограничениями, предусмотренными </w:t>
      </w:r>
      <w:hyperlink w:history="0" w:anchor="P102" w:tooltip="16. В границах охранной зоны запрещается: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настоящего Положения, в границах охранной зоны запрещаются швартовка судов, установка водозаборов и водосбросов, бросание якорей, прохождение с отданными якорями, цепями, лотами, волокушами и тралами, сооружение волноломов, проведение водолазных работ, дноуглубительных работ (за исключением работ по содержанию внутренних водных путей), землечерпательных работ и намыв берега, добыча (вылов) водных биологических ресурсов.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 пределах охранной зоны не допускается выделение 2 или более территорий (подзон), в отношении которых устанавливаются различные ограничения использования земельных участков.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Соблюдение установленных в границах охранных зон ограничений является обязательным при использовании земельных участков и водных объектов.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Выявление случаев нарушения режима охранной зоны осуществляется территориальным органом с учетом информации, направляемой организацией наблюдательной сети.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Положению об охранной зоне</w:t>
      </w:r>
    </w:p>
    <w:p>
      <w:pPr>
        <w:pStyle w:val="0"/>
        <w:jc w:val="right"/>
      </w:pPr>
      <w:r>
        <w:rPr>
          <w:sz w:val="24"/>
        </w:rPr>
        <w:t xml:space="preserve">стационарных пунктов наблюдений</w:t>
      </w:r>
    </w:p>
    <w:p>
      <w:pPr>
        <w:pStyle w:val="0"/>
        <w:jc w:val="right"/>
      </w:pPr>
      <w:r>
        <w:rPr>
          <w:sz w:val="24"/>
        </w:rPr>
        <w:t xml:space="preserve">за состоянием окружающей</w:t>
      </w:r>
    </w:p>
    <w:p>
      <w:pPr>
        <w:pStyle w:val="0"/>
        <w:jc w:val="right"/>
      </w:pPr>
      <w:r>
        <w:rPr>
          <w:sz w:val="24"/>
        </w:rPr>
        <w:t xml:space="preserve">среды, ее загрязнением</w:t>
      </w:r>
    </w:p>
    <w:p>
      <w:pPr>
        <w:pStyle w:val="0"/>
        <w:jc w:val="both"/>
      </w:pPr>
      <w:r>
        <w:rPr>
          <w:sz w:val="24"/>
        </w:rPr>
      </w:r>
    </w:p>
    <w:bookmarkStart w:id="126" w:name="P126"/>
    <w:bookmarkEnd w:id="126"/>
    <w:p>
      <w:pPr>
        <w:pStyle w:val="2"/>
        <w:jc w:val="center"/>
      </w:pPr>
      <w:r>
        <w:rPr>
          <w:sz w:val="24"/>
        </w:rPr>
        <w:t xml:space="preserve">ТРЕБОВАНИЯ</w:t>
      </w:r>
    </w:p>
    <w:p>
      <w:pPr>
        <w:pStyle w:val="2"/>
        <w:jc w:val="center"/>
      </w:pPr>
      <w:r>
        <w:rPr>
          <w:sz w:val="24"/>
        </w:rPr>
        <w:t xml:space="preserve">К ФОРМАТУ ЭЛЕКТРОННЫХ ДОКУМЕНТОВ, ПРЕДСТАВЛЯЕМЫХ</w:t>
      </w:r>
    </w:p>
    <w:p>
      <w:pPr>
        <w:pStyle w:val="2"/>
        <w:jc w:val="center"/>
      </w:pPr>
      <w:r>
        <w:rPr>
          <w:sz w:val="24"/>
        </w:rPr>
        <w:t xml:space="preserve">ДЛЯ ПРИНЯТИЯ РЕШЕНИЙ ОБ УСТАНОВЛЕНИИ ИЛИ ИЗМЕНЕНИИ ОХРАННОЙ</w:t>
      </w:r>
    </w:p>
    <w:p>
      <w:pPr>
        <w:pStyle w:val="2"/>
        <w:jc w:val="center"/>
      </w:pPr>
      <w:r>
        <w:rPr>
          <w:sz w:val="24"/>
        </w:rPr>
        <w:t xml:space="preserve">ЗОНЫ СТАЦИОНАРНЫХ ПУНКТОВ НАБЛЮДЕНИЙ ЗА СОСТОЯНИЕМ</w:t>
      </w:r>
    </w:p>
    <w:p>
      <w:pPr>
        <w:pStyle w:val="2"/>
        <w:jc w:val="center"/>
      </w:pPr>
      <w:r>
        <w:rPr>
          <w:sz w:val="24"/>
        </w:rPr>
        <w:t xml:space="preserve">ОКРУЖАЮЩЕЙ СРЕДЫ, ЕЕ ЗАГРЯЗНЕНИЕМ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34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19.05.2023 N 791)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Для принятия решения об установлении или изменении охранной зоны стационарных пунктов наблюдений за состоянием окружающей среды, ее загрязнением (далее - охранная зона, стационарный пункт наблюдений) электронные документы представляются в следующих форматах: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5" w:tooltip="Постановление Правительства РФ от 19.05.2023 N 791 &quot;О внесении изменений в Положение об охранной зоне стационарных пунктов наблюдений за состоянием окружающей среды, ее загрязнением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19.05.2023 N 791)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pdf - для документов, предусмотренных </w:t>
      </w:r>
      <w:hyperlink w:history="0" w:anchor="P59" w:tooltip="а) заявление об установлении или изменении охранной зоны;">
        <w:r>
          <w:rPr>
            <w:sz w:val="24"/>
            <w:color w:val="0000ff"/>
          </w:rPr>
          <w:t xml:space="preserve">подпунктами "а"</w:t>
        </w:r>
      </w:hyperlink>
      <w:r>
        <w:rPr>
          <w:sz w:val="24"/>
        </w:rPr>
        <w:t xml:space="preserve"> и </w:t>
      </w:r>
      <w:hyperlink w:history="0" w:anchor="P62" w:tooltip="в) копии правоустанавливающих и (или) правоудостоверяющих документов на земельный участок, указанный в пункте 2 настоящего Положения, в границах которого расположен стационарный пункт наблюдений;">
        <w:r>
          <w:rPr>
            <w:sz w:val="24"/>
            <w:color w:val="0000ff"/>
          </w:rPr>
          <w:t xml:space="preserve">"в" пункта 6</w:t>
        </w:r>
      </w:hyperlink>
      <w:r>
        <w:rPr>
          <w:sz w:val="24"/>
        </w:rPr>
        <w:t xml:space="preserve"> Положения об охранной зоне стационарных пунктов наблюдений за состоянием окружающей среды, ее загрязнением (далее - Положение);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doc, docx, rtf - для документа, предусмотренного </w:t>
      </w:r>
      <w:hyperlink w:history="0" w:anchor="P61" w:tooltip="б) сведения о границах охранной зоны, которые содержат графическое описание местоположения границ охранной зоны, перечень координат характерных точек этих границ в системе координат, установленной для ведения Единого государственного реестра недвижимости;">
        <w:r>
          <w:rPr>
            <w:sz w:val="24"/>
            <w:color w:val="0000ff"/>
          </w:rPr>
          <w:t xml:space="preserve">подпунктом "б" пункта 6</w:t>
        </w:r>
      </w:hyperlink>
      <w:r>
        <w:rPr>
          <w:sz w:val="24"/>
        </w:rPr>
        <w:t xml:space="preserve"> Положения (за исключением сведений о границах охранной зоны);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XML - для представления сведений о границах охранной зоны с использованием схем для формирования документов в формате XML, обеспечивающих считывание и контроль за содержащимися в них данными.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Электронные документы, представляемые в формате, предусмотренном </w:t>
      </w:r>
      <w:hyperlink w:history="0" w:anchor="P136" w:tooltip="а) pdf - для документов, предусмотренных подпунктами &quot;а&quot; и &quot;в&quot; пункта 6 Положения об охранной зоне стационарных пунктов наблюдений за состоянием окружающей среды, ее загрязнением (далее - Положение);">
        <w:r>
          <w:rPr>
            <w:sz w:val="24"/>
            <w:color w:val="0000ff"/>
          </w:rPr>
          <w:t xml:space="preserve">подпунктом "а" пункта 1</w:t>
        </w:r>
      </w:hyperlink>
      <w:r>
        <w:rPr>
          <w:sz w:val="24"/>
        </w:rPr>
        <w:t xml:space="preserve"> настоящих требований, формируются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dpi (масштаб 1:1) с использованием следующих режимов: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"черно-белый" (при отсутствии в документе графических изображений и (или) цветного текста);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"оттенки серого" (при наличии в документе графических изображений, отличных от цветного графического изображения);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"цветной" или "режим полной цветопередачи" (при наличии в документе цветных графических изображений либо цветного текста).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Электронные документы, представляемые для принятия решения об установлении охранной зоны, подготавливаются в отношении одного стационарного пункта наблюдений и должны: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состоять из нескольких файлов, каждый из которых соответствует одному подпункту, предусмотренному </w:t>
      </w:r>
      <w:hyperlink w:history="0" w:anchor="P57" w:tooltip="6. Для принятия решения об установлении или изменении охранной зоны в территориальный орган представляются следующие документы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обеспечивать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bookmarkStart w:id="146" w:name="P146"/>
    <w:bookmarkEnd w:id="14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содержать наименование стационарного пункта наблюдений (в том числе в наименовании файлов) и организации, подведомственной Федеральной службе по гидрометеорологии и мониторингу окружающей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не превышать предельного размера в 30 мегабайт (в случае превышения предельного размера документ делится на несколько файлов, наименование каждого файла дополняется словом "Фрагмент" и порядковым номером файла, полученного в результате деления).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Представляемые электронные документы подписываются с использованием усиленной квалифицированной электронной подписи руководителем организации, указанной в </w:t>
      </w:r>
      <w:hyperlink w:history="0" w:anchor="P146" w:tooltip="в) содержать наименование стационарного пункта наблюдений (в том числе в наименовании файлов) и организации, подведомственной Федеральной службе по гидрометеорологии и мониторингу окружающей среды;">
        <w:r>
          <w:rPr>
            <w:sz w:val="24"/>
            <w:color w:val="0000ff"/>
          </w:rPr>
          <w:t xml:space="preserve">подпункте "в" пункта 3</w:t>
        </w:r>
      </w:hyperlink>
      <w:r>
        <w:rPr>
          <w:sz w:val="24"/>
        </w:rPr>
        <w:t xml:space="preserve"> настоящих требований, либо его заместителем.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и использование квалифицированного сертификата ключа проверки электронной подписи осуществляются в соответствии с </w:t>
      </w:r>
      <w:hyperlink w:history="0" r:id="rId36" w:tooltip="Постановление Правительства РФ от 25.08.2012 N 852 (ред. от 20.07.2021) &quot;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&quot;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использования усиленной квалифицированной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августа 2012 г.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hyperlink w:history="0" r:id="rId37" w:tooltip="Постановление Правительства РФ от 17.03.2021 N 392 (ред. от 19.05.2023) &quot;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оссийской Федерации от 27 августа 1999 г. N 972 и признании не действующим на территории Российской Федерации постановления Совета Министров СССР от 6 января 1983 г. N 19&quot; {КонсультантПлюс}">
        <w:r>
          <w:rPr>
            <w:sz w:val="24"/>
            <w:color w:val="0000ff"/>
            <w:i w:val="on"/>
          </w:rPr>
          <w:br/>
          <w:t xml:space="preserve">Постановление Правительства РФ от 17.03.2021 N 392 (ред. от 19.05.2023) "Об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Российской Федерации от 27 августа 1999 г. N 972 и признании не действующим на территории Российской Федерации постановления Совета Министров СССР от 6 января 1983 г. N 19" {КонсультантПлюс}</w:t>
        </w:r>
      </w:hyperlink>
      <w:r>
        <w:rPr>
          <w:sz w:val="24"/>
        </w:rPr>
        <w:br/>
      </w: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17.03.2021 N 392</w:t>
            <w:br/>
            <w:t>(ред. от 19.05.2023)</w:t>
            <w:br/>
            <w:t>"Об утверждении Положения об охранной зоне стаци...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47572&amp;date=15.09.2026&amp;dst=100005&amp;field=134" TargetMode = "External"/><Relationship Id="rId9" Type="http://schemas.openxmlformats.org/officeDocument/2006/relationships/hyperlink" Target="https://login.consultant.ru/link/?req=doc&amp;base=LAW&amp;n=527765&amp;date=15.09.2026&amp;dst=1894&amp;field=134" TargetMode = "External"/><Relationship Id="rId10" Type="http://schemas.openxmlformats.org/officeDocument/2006/relationships/hyperlink" Target="https://login.consultant.ru/link/?req=doc&amp;base=LAW&amp;n=512733&amp;date=15.09.2026&amp;dst=100185&amp;field=134" TargetMode = "External"/><Relationship Id="rId11" Type="http://schemas.openxmlformats.org/officeDocument/2006/relationships/hyperlink" Target="https://login.consultant.ru/link/?req=doc&amp;base=LAW&amp;n=51777&amp;date=15.09.2026" TargetMode = "External"/><Relationship Id="rId12" Type="http://schemas.openxmlformats.org/officeDocument/2006/relationships/hyperlink" Target="https://login.consultant.ru/link/?req=doc&amp;base=LAW&amp;n=355466&amp;date=15.09.2026&amp;dst=100218&amp;field=134" TargetMode = "External"/><Relationship Id="rId13" Type="http://schemas.openxmlformats.org/officeDocument/2006/relationships/hyperlink" Target="https://login.consultant.ru/link/?req=doc&amp;base=ESU&amp;n=768&amp;date=15.09.2026" TargetMode = "External"/><Relationship Id="rId14" Type="http://schemas.openxmlformats.org/officeDocument/2006/relationships/hyperlink" Target="https://login.consultant.ru/link/?req=doc&amp;base=LAW&amp;n=447572&amp;date=15.09.2026&amp;dst=100005&amp;field=134" TargetMode = "External"/><Relationship Id="rId15" Type="http://schemas.openxmlformats.org/officeDocument/2006/relationships/hyperlink" Target="https://login.consultant.ru/link/?req=doc&amp;base=LAW&amp;n=447572&amp;date=15.09.2026&amp;dst=100009&amp;field=134" TargetMode = "External"/><Relationship Id="rId16" Type="http://schemas.openxmlformats.org/officeDocument/2006/relationships/hyperlink" Target="https://login.consultant.ru/link/?req=doc&amp;base=LAW&amp;n=447572&amp;date=15.09.2026&amp;dst=100011&amp;field=134" TargetMode = "External"/><Relationship Id="rId17" Type="http://schemas.openxmlformats.org/officeDocument/2006/relationships/hyperlink" Target="https://login.consultant.ru/link/?req=doc&amp;base=LAW&amp;n=447572&amp;date=15.09.2026&amp;dst=100014&amp;field=134" TargetMode = "External"/><Relationship Id="rId18" Type="http://schemas.openxmlformats.org/officeDocument/2006/relationships/hyperlink" Target="https://login.consultant.ru/link/?req=doc&amp;base=LAW&amp;n=447572&amp;date=15.09.2026&amp;dst=100016&amp;field=134" TargetMode = "External"/><Relationship Id="rId19" Type="http://schemas.openxmlformats.org/officeDocument/2006/relationships/hyperlink" Target="https://login.consultant.ru/link/?req=doc&amp;base=LAW&amp;n=468382&amp;date=15.09.2026&amp;dst=100012&amp;field=134" TargetMode = "External"/><Relationship Id="rId20" Type="http://schemas.openxmlformats.org/officeDocument/2006/relationships/hyperlink" Target="https://login.consultant.ru/link/?req=doc&amp;base=LAW&amp;n=447572&amp;date=15.09.2026&amp;dst=100016&amp;field=134" TargetMode = "External"/><Relationship Id="rId21" Type="http://schemas.openxmlformats.org/officeDocument/2006/relationships/hyperlink" Target="https://login.consultant.ru/link/?req=doc&amp;base=LAW&amp;n=447572&amp;date=15.09.2026&amp;dst=100017&amp;field=134" TargetMode = "External"/><Relationship Id="rId22" Type="http://schemas.openxmlformats.org/officeDocument/2006/relationships/hyperlink" Target="https://login.consultant.ru/link/?req=doc&amp;base=LAW&amp;n=447572&amp;date=15.09.2026&amp;dst=100019&amp;field=134" TargetMode = "External"/><Relationship Id="rId23" Type="http://schemas.openxmlformats.org/officeDocument/2006/relationships/hyperlink" Target="https://login.consultant.ru/link/?req=doc&amp;base=LAW&amp;n=447572&amp;date=15.09.2026&amp;dst=100020&amp;field=134" TargetMode = "External"/><Relationship Id="rId24" Type="http://schemas.openxmlformats.org/officeDocument/2006/relationships/hyperlink" Target="https://login.consultant.ru/link/?req=doc&amp;base=LAW&amp;n=447572&amp;date=15.09.2026&amp;dst=100021&amp;field=134" TargetMode = "External"/><Relationship Id="rId25" Type="http://schemas.openxmlformats.org/officeDocument/2006/relationships/hyperlink" Target="https://login.consultant.ru/link/?req=doc&amp;base=LAW&amp;n=447572&amp;date=15.09.2026&amp;dst=100025&amp;field=134" TargetMode = "External"/><Relationship Id="rId26" Type="http://schemas.openxmlformats.org/officeDocument/2006/relationships/hyperlink" Target="https://login.consultant.ru/link/?req=doc&amp;base=LAW&amp;n=447572&amp;date=15.09.2026&amp;dst=100028&amp;field=134" TargetMode = "External"/><Relationship Id="rId27" Type="http://schemas.openxmlformats.org/officeDocument/2006/relationships/hyperlink" Target="https://login.consultant.ru/link/?req=doc&amp;base=LAW&amp;n=447572&amp;date=15.09.2026&amp;dst=100030&amp;field=134" TargetMode = "External"/><Relationship Id="rId28" Type="http://schemas.openxmlformats.org/officeDocument/2006/relationships/hyperlink" Target="https://login.consultant.ru/link/?req=doc&amp;base=LAW&amp;n=447572&amp;date=15.09.2026&amp;dst=100031&amp;field=134" TargetMode = "External"/><Relationship Id="rId29" Type="http://schemas.openxmlformats.org/officeDocument/2006/relationships/hyperlink" Target="https://login.consultant.ru/link/?req=doc&amp;base=LAW&amp;n=447572&amp;date=15.09.2026&amp;dst=100033&amp;field=134" TargetMode = "External"/><Relationship Id="rId30" Type="http://schemas.openxmlformats.org/officeDocument/2006/relationships/hyperlink" Target="https://login.consultant.ru/link/?req=doc&amp;base=LAW&amp;n=447572&amp;date=15.09.2026&amp;dst=100035&amp;field=134" TargetMode = "External"/><Relationship Id="rId31" Type="http://schemas.openxmlformats.org/officeDocument/2006/relationships/hyperlink" Target="https://login.consultant.ru/link/?req=doc&amp;base=LAW&amp;n=468614&amp;date=15.09.2026&amp;dst=100011&amp;field=134" TargetMode = "External"/><Relationship Id="rId32" Type="http://schemas.openxmlformats.org/officeDocument/2006/relationships/hyperlink" Target="https://login.consultant.ru/link/?req=doc&amp;base=LAW&amp;n=447572&amp;date=15.09.2026&amp;dst=100038&amp;field=134" TargetMode = "External"/><Relationship Id="rId33" Type="http://schemas.openxmlformats.org/officeDocument/2006/relationships/hyperlink" Target="https://login.consultant.ru/link/?req=doc&amp;base=LAW&amp;n=447572&amp;date=15.09.2026&amp;dst=100040&amp;field=134" TargetMode = "External"/><Relationship Id="rId34" Type="http://schemas.openxmlformats.org/officeDocument/2006/relationships/hyperlink" Target="https://login.consultant.ru/link/?req=doc&amp;base=LAW&amp;n=447572&amp;date=15.09.2026&amp;dst=100041&amp;field=134" TargetMode = "External"/><Relationship Id="rId35" Type="http://schemas.openxmlformats.org/officeDocument/2006/relationships/hyperlink" Target="https://login.consultant.ru/link/?req=doc&amp;base=LAW&amp;n=447572&amp;date=15.09.2026&amp;dst=100043&amp;field=134" TargetMode = "External"/><Relationship Id="rId36" Type="http://schemas.openxmlformats.org/officeDocument/2006/relationships/hyperlink" Target="https://login.consultant.ru/link/?req=doc&amp;base=LAW&amp;n=391636&amp;date=15.09.2026&amp;dst=100011&amp;field=134" TargetMode = "External"/><Relationship Id="rId37" Type="http://schemas.openxmlformats.org/officeDocument/2006/relationships/hyperlink" Target="https://login.consultant.ru/link/?req=doc&amp;base=LAW&amp;n=447638&amp;date=15.09.2026&amp;dst=100000000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17.03.2021 N 392
(ред. от 19.05.2023)
"Об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Российской Федерации от 27 августа 1999 г. N 972 и признании не действующим на территории Российской Федерации постановления Совета Министров СССР от 6 января 1983 г. N 19"</dc:title>
  <dcterms:created xsi:type="dcterms:W3CDTF">2026-09-15T10:39:26Z</dcterms:created>
</cp:coreProperties>
</file>